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临沧居民参保缴费后可获得哪些医保待遇？</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240" w:lineRule="auto"/>
        <w:ind w:left="0" w:right="0" w:firstLine="450"/>
        <w:jc w:val="both"/>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240" w:lineRule="auto"/>
        <w:ind w:right="0"/>
        <w:jc w:val="both"/>
        <w:rPr>
          <w:rFonts w:hint="default"/>
          <w:sz w:val="21"/>
          <w:szCs w:val="21"/>
          <w:lang w:val="en-US" w:eastAsia="zh-CN"/>
        </w:rPr>
      </w:pPr>
      <w:r>
        <w:rPr>
          <w:rFonts w:hint="eastAsia"/>
          <w:lang w:val="en-US" w:eastAsia="zh-CN"/>
        </w:rPr>
        <w:t>答：</w:t>
      </w:r>
      <w:r>
        <w:rPr>
          <w:rFonts w:hint="eastAsia"/>
          <w:sz w:val="21"/>
          <w:szCs w:val="21"/>
          <w:lang w:val="en-US" w:eastAsia="zh-CN"/>
        </w:rPr>
        <w:t>具体情况如下：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240" w:lineRule="auto"/>
        <w:ind w:right="0"/>
        <w:jc w:val="both"/>
        <w:rPr>
          <w:rFonts w:hint="eastAsia" w:ascii="方正楷体_GBK" w:hAnsi="方正楷体_GBK" w:eastAsia="方正楷体_GBK" w:cs="方正楷体_GBK"/>
          <w:kern w:val="2"/>
          <w:sz w:val="21"/>
          <w:szCs w:val="21"/>
          <w:lang w:val="en-US" w:eastAsia="zh-CN" w:bidi="ar-SA"/>
        </w:rPr>
      </w:pPr>
      <w:r>
        <w:rPr>
          <w:rFonts w:hint="eastAsia"/>
          <w:sz w:val="21"/>
          <w:szCs w:val="21"/>
          <w:lang w:val="en-US" w:eastAsia="zh-CN"/>
        </w:rPr>
        <w:t>（1）</w:t>
      </w:r>
      <w:r>
        <w:rPr>
          <w:rFonts w:hint="eastAsia" w:ascii="方正楷体_GBK" w:hAnsi="方正楷体_GBK" w:eastAsia="方正楷体_GBK" w:cs="方正楷体_GBK"/>
          <w:kern w:val="2"/>
          <w:sz w:val="21"/>
          <w:szCs w:val="21"/>
          <w:lang w:val="en-US" w:eastAsia="zh-CN" w:bidi="ar-SA"/>
        </w:rPr>
        <w:t>门诊待遇</w:t>
      </w:r>
    </w:p>
    <w:tbl>
      <w:tblPr>
        <w:tblStyle w:val="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20"/>
        <w:gridCol w:w="1915"/>
        <w:gridCol w:w="2217"/>
        <w:gridCol w:w="2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6" w:hRule="atLeast"/>
        </w:trPr>
        <w:tc>
          <w:tcPr>
            <w:tcW w:w="132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 xml:space="preserve">       类别</w:t>
            </w:r>
          </w:p>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项目</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普通门诊</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门诊慢性病</w:t>
            </w:r>
            <w:r>
              <w:rPr>
                <w:rFonts w:hint="eastAsia" w:ascii="宋体" w:hAnsi="宋体" w:eastAsia="宋体" w:cs="宋体"/>
                <w:b/>
                <w:bCs/>
                <w:i w:val="0"/>
                <w:color w:val="000000"/>
                <w:kern w:val="0"/>
                <w:sz w:val="21"/>
                <w:szCs w:val="21"/>
                <w:u w:val="none"/>
                <w:lang w:val="en-US" w:eastAsia="zh-CN" w:bidi="ar"/>
              </w:rPr>
              <w:br w:type="textWrapping"/>
            </w:r>
            <w:r>
              <w:rPr>
                <w:rFonts w:hint="eastAsia" w:ascii="宋体" w:hAnsi="宋体" w:eastAsia="宋体" w:cs="宋体"/>
                <w:b/>
                <w:bCs/>
                <w:i w:val="0"/>
                <w:color w:val="000000"/>
                <w:kern w:val="0"/>
                <w:sz w:val="21"/>
                <w:szCs w:val="21"/>
                <w:u w:val="none"/>
                <w:lang w:val="en-US" w:eastAsia="zh-CN" w:bidi="ar"/>
              </w:rPr>
              <w:t>23种</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门诊特殊病</w:t>
            </w:r>
            <w:r>
              <w:rPr>
                <w:rFonts w:hint="eastAsia" w:ascii="宋体" w:hAnsi="宋体" w:eastAsia="宋体" w:cs="宋体"/>
                <w:b/>
                <w:bCs/>
                <w:i w:val="0"/>
                <w:color w:val="000000"/>
                <w:kern w:val="0"/>
                <w:sz w:val="21"/>
                <w:szCs w:val="21"/>
                <w:u w:val="none"/>
                <w:lang w:val="en-US" w:eastAsia="zh-CN" w:bidi="ar"/>
              </w:rPr>
              <w:br w:type="textWrapping"/>
            </w:r>
            <w:r>
              <w:rPr>
                <w:rFonts w:hint="eastAsia" w:ascii="宋体" w:hAnsi="宋体" w:eastAsia="宋体" w:cs="宋体"/>
                <w:b/>
                <w:bCs/>
                <w:i w:val="0"/>
                <w:color w:val="000000"/>
                <w:kern w:val="0"/>
                <w:sz w:val="21"/>
                <w:szCs w:val="21"/>
                <w:u w:val="none"/>
                <w:lang w:val="en-US" w:eastAsia="zh-CN" w:bidi="ar"/>
              </w:rPr>
              <w:t>24种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起付线</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1200元</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spacing w:val="-11"/>
                <w:kern w:val="0"/>
                <w:sz w:val="21"/>
                <w:szCs w:val="21"/>
                <w:u w:val="none"/>
                <w:lang w:val="en-US" w:eastAsia="zh-CN" w:bidi="ar"/>
              </w:rPr>
              <w:t>（肾衰竭、重性精神病无起付线）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6"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报销比例</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pacing w:val="-11"/>
                <w:kern w:val="0"/>
                <w:sz w:val="21"/>
                <w:szCs w:val="21"/>
                <w:u w:val="none"/>
                <w:lang w:val="en-US" w:eastAsia="zh-CN" w:bidi="ar"/>
              </w:rPr>
            </w:pPr>
            <w:r>
              <w:rPr>
                <w:rFonts w:hint="eastAsia" w:ascii="仿宋_GB2312" w:hAnsi="仿宋_GB2312" w:eastAsia="仿宋_GB2312" w:cs="仿宋_GB2312"/>
                <w:i w:val="0"/>
                <w:color w:val="000000"/>
                <w:spacing w:val="-11"/>
                <w:kern w:val="0"/>
                <w:sz w:val="21"/>
                <w:szCs w:val="21"/>
                <w:u w:val="none"/>
                <w:lang w:val="en-US" w:eastAsia="zh-CN" w:bidi="ar"/>
              </w:rPr>
              <w:t>乡村一级50%，</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11"/>
                <w:kern w:val="0"/>
                <w:sz w:val="21"/>
                <w:szCs w:val="21"/>
                <w:u w:val="none"/>
                <w:lang w:val="en-US" w:eastAsia="zh-CN" w:bidi="ar"/>
              </w:rPr>
              <w:t>县及以上医疗机构25%</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70%</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（肾衰竭和重性精神病90%）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8"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封顶限额</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400元</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11"/>
                <w:kern w:val="0"/>
                <w:sz w:val="21"/>
                <w:szCs w:val="21"/>
                <w:u w:val="none"/>
                <w:lang w:val="en-US" w:eastAsia="zh-CN" w:bidi="ar"/>
              </w:rPr>
              <w:t>单一病种720～3000元，</w:t>
            </w:r>
            <w:r>
              <w:rPr>
                <w:rFonts w:hint="eastAsia" w:ascii="仿宋_GB2312" w:hAnsi="仿宋_GB2312" w:eastAsia="仿宋_GB2312" w:cs="仿宋_GB2312"/>
                <w:i w:val="0"/>
                <w:color w:val="000000"/>
                <w:spacing w:val="-11"/>
                <w:kern w:val="0"/>
                <w:sz w:val="21"/>
                <w:szCs w:val="21"/>
                <w:u w:val="none"/>
                <w:lang w:val="en-US" w:eastAsia="zh-CN" w:bidi="ar"/>
              </w:rPr>
              <w:br w:type="textWrapping"/>
            </w:r>
            <w:r>
              <w:rPr>
                <w:rFonts w:hint="eastAsia" w:ascii="仿宋_GB2312" w:hAnsi="仿宋_GB2312" w:eastAsia="仿宋_GB2312" w:cs="仿宋_GB2312"/>
                <w:i w:val="0"/>
                <w:color w:val="000000"/>
                <w:spacing w:val="-11"/>
                <w:kern w:val="0"/>
                <w:sz w:val="21"/>
                <w:szCs w:val="21"/>
                <w:u w:val="none"/>
                <w:lang w:val="en-US" w:eastAsia="zh-CN" w:bidi="ar"/>
              </w:rPr>
              <w:t>多种病种最高5000元</w:t>
            </w:r>
          </w:p>
        </w:tc>
        <w:tc>
          <w:tcPr>
            <w:tcW w:w="2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63"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一般诊疗费</w:t>
            </w:r>
          </w:p>
        </w:tc>
        <w:tc>
          <w:tcPr>
            <w:tcW w:w="697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1.门诊一般诊疗费（门诊挂号、诊查、门急诊留观诊查和药事服务，俗称看病开药）每人次6元，医保支付5.5元。</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2.门诊简单诊疗费（门诊挂号、诊查、门急诊留观诊查、药事服务、肌肉注射、皮试和静脉注射，俗称打针），每人次7元，医保支付6元。</w:t>
            </w:r>
          </w:p>
          <w:p>
            <w:pPr>
              <w:pStyle w:val="2"/>
              <w:keepNext w:val="0"/>
              <w:keepLines w:val="0"/>
              <w:pageBreakBefore w:val="0"/>
              <w:kinsoku/>
              <w:wordWrap/>
              <w:overflowPunct/>
              <w:topLinePunct w:val="0"/>
              <w:bidi w:val="0"/>
              <w:adjustRightInd/>
              <w:snapToGrid/>
              <w:spacing w:line="240" w:lineRule="auto"/>
              <w:rPr>
                <w:rFonts w:hint="default"/>
                <w:sz w:val="21"/>
                <w:szCs w:val="21"/>
                <w:lang w:val="en-US" w:eastAsia="zh-CN"/>
              </w:rPr>
            </w:pPr>
            <w:r>
              <w:rPr>
                <w:rFonts w:hint="eastAsia" w:ascii="仿宋_GB2312" w:hAnsi="仿宋_GB2312" w:eastAsia="仿宋_GB2312" w:cs="仿宋_GB2312"/>
                <w:spacing w:val="0"/>
                <w:sz w:val="21"/>
                <w:szCs w:val="21"/>
                <w:lang w:val="en-US" w:eastAsia="zh-CN"/>
              </w:rPr>
              <w:t>3.门诊复杂诊疗费（门诊挂号、诊查、门急诊留观诊查、药事服务、肌肉注射、皮试、静脉注射和静脉输液，俗称输液吊水），每人次9元，医保支付6.5元。</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方正楷体_GBK" w:hAnsi="方正楷体_GBK" w:eastAsia="方正楷体_GBK" w:cs="方正楷体_GBK"/>
          <w:kern w:val="2"/>
          <w:sz w:val="21"/>
          <w:szCs w:val="21"/>
          <w:lang w:val="en-US" w:eastAsia="zh-CN" w:bidi="ar-SA"/>
        </w:rPr>
      </w:pPr>
      <w:r>
        <w:rPr>
          <w:rFonts w:hint="eastAsia" w:ascii="方正楷体_GBK" w:hAnsi="方正楷体_GBK" w:eastAsia="方正楷体_GBK" w:cs="方正楷体_GBK"/>
          <w:kern w:val="2"/>
          <w:sz w:val="21"/>
          <w:szCs w:val="21"/>
          <w:lang w:val="en-US" w:eastAsia="zh-CN" w:bidi="ar-SA"/>
        </w:rPr>
        <w:t>（2）住院待遇</w:t>
      </w:r>
    </w:p>
    <w:tbl>
      <w:tblPr>
        <w:tblStyle w:val="4"/>
        <w:tblW w:w="86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08"/>
        <w:gridCol w:w="1290"/>
        <w:gridCol w:w="1336"/>
        <w:gridCol w:w="1374"/>
        <w:gridCol w:w="2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trPr>
        <w:tc>
          <w:tcPr>
            <w:tcW w:w="1708"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Theme="majorEastAsia" w:hAnsiTheme="majorEastAsia" w:eastAsiaTheme="majorEastAsia" w:cstheme="majorEastAsia"/>
                <w:b/>
                <w:bCs w:val="0"/>
                <w:i w:val="0"/>
                <w:color w:val="auto"/>
                <w:kern w:val="0"/>
                <w:sz w:val="21"/>
                <w:szCs w:val="21"/>
                <w:u w:val="none"/>
                <w:lang w:val="en-US" w:eastAsia="zh-CN" w:bidi="ar"/>
              </w:rPr>
            </w:pPr>
            <w:r>
              <w:rPr>
                <w:rFonts w:hint="eastAsia" w:asciiTheme="majorEastAsia" w:hAnsiTheme="majorEastAsia" w:eastAsiaTheme="majorEastAsia" w:cstheme="majorEastAsia"/>
                <w:b/>
                <w:bCs w:val="0"/>
                <w:i w:val="0"/>
                <w:color w:val="auto"/>
                <w:kern w:val="0"/>
                <w:sz w:val="21"/>
                <w:szCs w:val="21"/>
                <w:u w:val="none"/>
                <w:lang w:val="en-US" w:eastAsia="zh-CN" w:bidi="ar"/>
              </w:rPr>
              <w:t xml:space="preserve">          医院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rPr>
                <w:rFonts w:hint="default" w:asciiTheme="majorEastAsia" w:hAnsiTheme="majorEastAsia" w:eastAsiaTheme="majorEastAsia" w:cstheme="majorEastAsia"/>
                <w:b/>
                <w:bCs w:val="0"/>
                <w:i w:val="0"/>
                <w:color w:val="auto"/>
                <w:kern w:val="0"/>
                <w:sz w:val="21"/>
                <w:szCs w:val="21"/>
                <w:u w:val="none"/>
                <w:lang w:val="en-US" w:eastAsia="zh-CN" w:bidi="ar"/>
              </w:rPr>
            </w:pPr>
            <w:r>
              <w:rPr>
                <w:rFonts w:hint="eastAsia" w:asciiTheme="majorEastAsia" w:hAnsiTheme="majorEastAsia" w:eastAsiaTheme="majorEastAsia" w:cstheme="majorEastAsia"/>
                <w:b/>
                <w:bCs w:val="0"/>
                <w:i w:val="0"/>
                <w:color w:val="auto"/>
                <w:kern w:val="0"/>
                <w:sz w:val="21"/>
                <w:szCs w:val="21"/>
                <w:u w:val="none"/>
                <w:lang w:val="en-US" w:eastAsia="zh-CN" w:bidi="ar"/>
              </w:rPr>
              <w:t>项目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Theme="majorEastAsia" w:hAnsiTheme="majorEastAsia" w:eastAsiaTheme="majorEastAsia" w:cstheme="majorEastAsia"/>
                <w:b/>
                <w:bCs w:val="0"/>
                <w:i w:val="0"/>
                <w:color w:val="auto"/>
                <w:sz w:val="21"/>
                <w:szCs w:val="21"/>
                <w:u w:val="none"/>
              </w:rPr>
            </w:pPr>
            <w:r>
              <w:rPr>
                <w:rFonts w:hint="eastAsia" w:asciiTheme="majorEastAsia" w:hAnsiTheme="majorEastAsia" w:eastAsiaTheme="majorEastAsia" w:cstheme="majorEastAsia"/>
                <w:b/>
                <w:bCs w:val="0"/>
                <w:i w:val="0"/>
                <w:color w:val="auto"/>
                <w:kern w:val="0"/>
                <w:sz w:val="21"/>
                <w:szCs w:val="21"/>
                <w:u w:val="none"/>
                <w:lang w:val="en-US" w:eastAsia="zh-CN" w:bidi="ar"/>
              </w:rPr>
              <w:t>一级医院</w:t>
            </w:r>
            <w:r>
              <w:rPr>
                <w:rFonts w:hint="eastAsia" w:asciiTheme="majorEastAsia" w:hAnsiTheme="majorEastAsia" w:eastAsiaTheme="majorEastAsia" w:cstheme="majorEastAsia"/>
                <w:b/>
                <w:bCs w:val="0"/>
                <w:i w:val="0"/>
                <w:color w:val="auto"/>
                <w:kern w:val="0"/>
                <w:sz w:val="21"/>
                <w:szCs w:val="21"/>
                <w:u w:val="none"/>
                <w:lang w:val="en-US" w:eastAsia="zh-CN" w:bidi="ar"/>
              </w:rPr>
              <w:br w:type="textWrapping"/>
            </w:r>
            <w:r>
              <w:rPr>
                <w:rFonts w:hint="eastAsia" w:asciiTheme="majorEastAsia" w:hAnsiTheme="majorEastAsia" w:eastAsiaTheme="majorEastAsia" w:cstheme="majorEastAsia"/>
                <w:b/>
                <w:bCs w:val="0"/>
                <w:i w:val="0"/>
                <w:color w:val="auto"/>
                <w:kern w:val="0"/>
                <w:sz w:val="21"/>
                <w:szCs w:val="21"/>
                <w:u w:val="none"/>
                <w:lang w:val="en-US" w:eastAsia="zh-CN" w:bidi="ar"/>
              </w:rPr>
              <w:t>（含卫生院）</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Theme="majorEastAsia" w:hAnsiTheme="majorEastAsia" w:eastAsiaTheme="majorEastAsia" w:cstheme="majorEastAsia"/>
                <w:b/>
                <w:bCs w:val="0"/>
                <w:sz w:val="21"/>
                <w:szCs w:val="21"/>
                <w:lang w:val="en-US" w:eastAsia="zh-CN"/>
              </w:rPr>
            </w:pPr>
            <w:r>
              <w:rPr>
                <w:rFonts w:hint="eastAsia" w:asciiTheme="majorEastAsia" w:hAnsiTheme="majorEastAsia" w:eastAsiaTheme="majorEastAsia" w:cstheme="majorEastAsia"/>
                <w:b/>
                <w:bCs w:val="0"/>
                <w:sz w:val="21"/>
                <w:szCs w:val="21"/>
                <w:lang w:val="en-US" w:eastAsia="zh-CN"/>
              </w:rPr>
              <w:t>二级医院</w:t>
            </w:r>
          </w:p>
          <w:p>
            <w:pPr>
              <w:pStyle w:val="2"/>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b/>
                <w:bCs w:val="0"/>
                <w:sz w:val="21"/>
                <w:szCs w:val="21"/>
                <w:lang w:val="en-US" w:eastAsia="zh-CN"/>
              </w:rPr>
            </w:pPr>
            <w:r>
              <w:rPr>
                <w:rFonts w:hint="eastAsia" w:asciiTheme="majorEastAsia" w:hAnsiTheme="majorEastAsia" w:eastAsiaTheme="majorEastAsia" w:cstheme="majorEastAsia"/>
                <w:b/>
                <w:bCs w:val="0"/>
                <w:i w:val="0"/>
                <w:color w:val="auto"/>
                <w:spacing w:val="-23"/>
                <w:kern w:val="0"/>
                <w:sz w:val="21"/>
                <w:szCs w:val="21"/>
                <w:u w:val="none"/>
                <w:lang w:val="en-US" w:eastAsia="zh-CN" w:bidi="ar"/>
              </w:rPr>
              <w:t>(县人民医院等)</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Theme="majorEastAsia" w:hAnsiTheme="majorEastAsia" w:eastAsiaTheme="majorEastAsia" w:cstheme="majorEastAsia"/>
                <w:b/>
                <w:bCs w:val="0"/>
                <w:sz w:val="21"/>
                <w:szCs w:val="21"/>
                <w:lang w:val="en-US" w:eastAsia="zh-CN"/>
              </w:rPr>
            </w:pPr>
            <w:r>
              <w:rPr>
                <w:rFonts w:hint="eastAsia" w:asciiTheme="majorEastAsia" w:hAnsiTheme="majorEastAsia" w:eastAsiaTheme="majorEastAsia" w:cstheme="majorEastAsia"/>
                <w:b/>
                <w:bCs w:val="0"/>
                <w:sz w:val="21"/>
                <w:szCs w:val="21"/>
                <w:lang w:val="en-US" w:eastAsia="zh-CN"/>
              </w:rPr>
              <w:t>三级医院</w:t>
            </w:r>
          </w:p>
          <w:p>
            <w:pPr>
              <w:pStyle w:val="2"/>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b/>
                <w:bCs w:val="0"/>
                <w:sz w:val="21"/>
                <w:szCs w:val="21"/>
                <w:lang w:val="en-US" w:eastAsia="zh-CN"/>
              </w:rPr>
            </w:pPr>
            <w:r>
              <w:rPr>
                <w:rFonts w:hint="eastAsia" w:asciiTheme="majorEastAsia" w:hAnsiTheme="majorEastAsia" w:eastAsiaTheme="majorEastAsia" w:cstheme="majorEastAsia"/>
                <w:b/>
                <w:bCs w:val="0"/>
                <w:i w:val="0"/>
                <w:color w:val="auto"/>
                <w:kern w:val="0"/>
                <w:sz w:val="21"/>
                <w:szCs w:val="21"/>
                <w:u w:val="none"/>
                <w:lang w:val="en-US" w:eastAsia="zh-CN" w:bidi="ar"/>
              </w:rPr>
              <w:t>(市医院等)</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Theme="majorEastAsia" w:hAnsiTheme="majorEastAsia" w:eastAsiaTheme="majorEastAsia" w:cstheme="majorEastAsia"/>
                <w:b/>
                <w:bCs w:val="0"/>
                <w:i w:val="0"/>
                <w:color w:val="auto"/>
                <w:sz w:val="21"/>
                <w:szCs w:val="21"/>
                <w:u w:val="none"/>
              </w:rPr>
            </w:pPr>
            <w:r>
              <w:rPr>
                <w:rFonts w:hint="eastAsia" w:asciiTheme="majorEastAsia" w:hAnsiTheme="majorEastAsia" w:eastAsiaTheme="majorEastAsia" w:cstheme="majorEastAsia"/>
                <w:b/>
                <w:bCs w:val="0"/>
                <w:i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起付线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bidi="ar"/>
              </w:rPr>
              <w:t>300元</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bidi="ar"/>
              </w:rPr>
              <w:t>600元</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bidi="ar"/>
              </w:rPr>
              <w:t>1200元</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在一个医疗保险年度内多次住院的，起付线单独计算。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0"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报销比例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60%</w:t>
            </w:r>
          </w:p>
        </w:tc>
        <w:tc>
          <w:tcPr>
            <w:tcW w:w="29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未规范转诊报销比例下调10%。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8"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b w:val="0"/>
                <w:bCs w:val="0"/>
                <w:i w:val="0"/>
                <w:color w:val="auto"/>
                <w:kern w:val="0"/>
                <w:sz w:val="21"/>
                <w:szCs w:val="21"/>
                <w:u w:val="none"/>
                <w:shd w:val="clear" w:color="auto" w:fill="auto"/>
                <w:lang w:val="en-US" w:eastAsia="zh-CN" w:bidi="ar"/>
              </w:rPr>
              <w:t>重大疾病住院</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70%</w:t>
            </w:r>
          </w:p>
        </w:tc>
        <w:tc>
          <w:tcPr>
            <w:tcW w:w="29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最高支付限额</w:t>
            </w:r>
          </w:p>
        </w:tc>
        <w:tc>
          <w:tcPr>
            <w:tcW w:w="4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15万元</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患重大疾病住院的取消起付线、不设最高支付限额</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方正楷体_GBK" w:hAnsi="方正楷体_GBK" w:eastAsia="方正楷体_GBK" w:cs="方正楷体_GBK"/>
          <w:kern w:val="2"/>
          <w:sz w:val="21"/>
          <w:szCs w:val="21"/>
          <w:lang w:val="en-US" w:eastAsia="zh-CN" w:bidi="ar-SA"/>
        </w:rPr>
      </w:pPr>
      <w:r>
        <w:rPr>
          <w:rFonts w:hint="eastAsia" w:ascii="方正楷体_GBK" w:hAnsi="方正楷体_GBK" w:eastAsia="方正楷体_GBK" w:cs="方正楷体_GBK"/>
          <w:kern w:val="2"/>
          <w:sz w:val="21"/>
          <w:szCs w:val="21"/>
          <w:lang w:val="en-US" w:eastAsia="zh-CN" w:bidi="ar-SA"/>
        </w:rPr>
        <w:t>（3）住院分娩（参保妇女生育）</w:t>
      </w:r>
    </w:p>
    <w:tbl>
      <w:tblPr>
        <w:tblStyle w:val="4"/>
        <w:tblW w:w="86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98"/>
        <w:gridCol w:w="1069"/>
        <w:gridCol w:w="1406"/>
        <w:gridCol w:w="4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trPr>
        <w:tc>
          <w:tcPr>
            <w:tcW w:w="1798"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b/>
                <w:bCs/>
                <w:sz w:val="21"/>
                <w:szCs w:val="21"/>
                <w:lang w:val="en-US" w:eastAsia="zh-CN"/>
              </w:rPr>
            </w:pPr>
            <w:r>
              <w:rPr>
                <w:rFonts w:hint="eastAsia"/>
                <w:b/>
                <w:bCs/>
                <w:sz w:val="21"/>
                <w:szCs w:val="21"/>
                <w:lang w:val="en-US" w:eastAsia="zh-CN"/>
              </w:rPr>
              <w:t xml:space="preserve">        生育类别</w:t>
            </w:r>
          </w:p>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default" w:eastAsiaTheme="minorEastAsia"/>
                <w:b/>
                <w:bCs/>
                <w:sz w:val="21"/>
                <w:szCs w:val="21"/>
                <w:lang w:val="en-US" w:eastAsia="zh-CN"/>
              </w:rPr>
            </w:pPr>
            <w:r>
              <w:rPr>
                <w:rFonts w:hint="eastAsia"/>
                <w:b/>
                <w:bCs/>
                <w:sz w:val="21"/>
                <w:szCs w:val="21"/>
                <w:lang w:val="en-US" w:eastAsia="zh-CN"/>
              </w:rPr>
              <w:t>生育地点</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顺产</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剖宫产</w:t>
            </w:r>
          </w:p>
        </w:tc>
        <w:tc>
          <w:tcPr>
            <w:tcW w:w="4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乡级医院</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1800元</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1800元</w:t>
            </w:r>
          </w:p>
        </w:tc>
        <w:tc>
          <w:tcPr>
            <w:tcW w:w="4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定额包干（生育无需承担费用）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县级医院</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2100元</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2700元</w:t>
            </w:r>
          </w:p>
        </w:tc>
        <w:tc>
          <w:tcPr>
            <w:tcW w:w="4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定额包干（生育无需承担费用）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市级医院</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2400元</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3400元</w:t>
            </w:r>
          </w:p>
        </w:tc>
        <w:tc>
          <w:tcPr>
            <w:tcW w:w="4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spacing w:val="-11"/>
                <w:kern w:val="0"/>
                <w:sz w:val="21"/>
                <w:szCs w:val="21"/>
                <w:u w:val="none"/>
                <w:lang w:val="en-US" w:eastAsia="zh-CN" w:bidi="ar"/>
              </w:rPr>
              <w:t>限额支付（限额内无需负担，限额外个人自付）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6" w:hRule="atLeast"/>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市外医院</w:t>
            </w:r>
          </w:p>
        </w:tc>
        <w:tc>
          <w:tcPr>
            <w:tcW w:w="683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市外生育或者因难产、危急孕产妇抢救等特殊情况，按照普通住院结算。</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方正楷体_GBK" w:hAnsi="方正楷体_GBK" w:eastAsia="方正楷体_GBK" w:cs="方正楷体_GBK"/>
          <w:kern w:val="2"/>
          <w:sz w:val="21"/>
          <w:szCs w:val="21"/>
          <w:lang w:val="en-US" w:eastAsia="zh-CN" w:bidi="ar-SA"/>
        </w:rPr>
      </w:pPr>
      <w:r>
        <w:rPr>
          <w:rFonts w:hint="eastAsia" w:ascii="方正楷体_GBK" w:hAnsi="方正楷体_GBK" w:eastAsia="方正楷体_GBK" w:cs="方正楷体_GBK"/>
          <w:kern w:val="2"/>
          <w:sz w:val="21"/>
          <w:szCs w:val="21"/>
          <w:lang w:val="en-US" w:eastAsia="zh-CN" w:bidi="ar-SA"/>
        </w:rPr>
        <w:t>（4）大病保险待遇</w:t>
      </w:r>
    </w:p>
    <w:tbl>
      <w:tblPr>
        <w:tblStyle w:val="4"/>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920"/>
        <w:gridCol w:w="2857"/>
        <w:gridCol w:w="2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2920"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ind w:left="440" w:hanging="422" w:hangingChars="200"/>
              <w:jc w:val="left"/>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 xml:space="preserve">               人群</w:t>
            </w:r>
            <w:r>
              <w:rPr>
                <w:rFonts w:hint="eastAsia" w:ascii="仿宋_GB2312" w:hAnsi="仿宋_GB2312" w:eastAsia="仿宋_GB2312" w:cs="仿宋_GB2312"/>
                <w:b/>
                <w:bCs/>
                <w:i w:val="0"/>
                <w:color w:val="000000"/>
                <w:kern w:val="0"/>
                <w:sz w:val="21"/>
                <w:szCs w:val="21"/>
                <w:u w:val="none"/>
                <w:lang w:val="en-US" w:eastAsia="zh-CN" w:bidi="ar"/>
              </w:rPr>
              <w:br w:type="textWrapping"/>
            </w:r>
            <w:r>
              <w:rPr>
                <w:rFonts w:hint="eastAsia" w:ascii="仿宋_GB2312" w:hAnsi="仿宋_GB2312" w:eastAsia="仿宋_GB2312" w:cs="仿宋_GB2312"/>
                <w:b/>
                <w:bCs/>
                <w:i w:val="0"/>
                <w:color w:val="000000"/>
                <w:kern w:val="0"/>
                <w:sz w:val="21"/>
                <w:szCs w:val="21"/>
                <w:u w:val="none"/>
                <w:lang w:val="en-US" w:eastAsia="zh-CN" w:bidi="ar"/>
              </w:rPr>
              <w:t>项目</w:t>
            </w:r>
            <w:r>
              <w:rPr>
                <w:rStyle w:val="6"/>
                <w:rFonts w:hint="eastAsia" w:ascii="仿宋_GB2312" w:hAnsi="仿宋_GB2312" w:eastAsia="仿宋_GB2312" w:cs="仿宋_GB2312"/>
                <w:b/>
                <w:bCs/>
                <w:sz w:val="21"/>
                <w:szCs w:val="21"/>
                <w:lang w:val="en-US" w:eastAsia="zh-CN" w:bidi="ar"/>
              </w:rPr>
              <w:t>类别</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普通居民</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低保等困难人群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rPr>
        <w:tc>
          <w:tcPr>
            <w:tcW w:w="2920"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bidi w:val="0"/>
              <w:adjustRightInd/>
              <w:snapToGrid/>
              <w:spacing w:line="240" w:lineRule="auto"/>
              <w:jc w:val="center"/>
              <w:rPr>
                <w:rFonts w:hint="eastAsia" w:ascii="仿宋_GB2312" w:hAnsi="仿宋_GB2312" w:eastAsia="仿宋_GB2312" w:cs="仿宋_GB2312"/>
                <w:b/>
                <w:bCs/>
                <w:i w:val="0"/>
                <w:color w:val="000000"/>
                <w:sz w:val="21"/>
                <w:szCs w:val="21"/>
                <w:u w:val="none"/>
              </w:rPr>
            </w:pP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报销比例</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报销比例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0.6万元至2万元（含）</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2万元至4万元（含）</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4万元至6万元（含）</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6万元以上</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最高理赔限额</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40万元</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无封顶限额（上限）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起付线</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6000元</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833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240" w:lineRule="auto"/>
              <w:ind w:right="0"/>
              <w:jc w:val="both"/>
              <w:rPr>
                <w:rFonts w:hint="eastAsia" w:ascii="仿宋_GB2312" w:hAnsi="仿宋_GB2312" w:eastAsia="仿宋_GB2312" w:cs="仿宋_GB2312"/>
                <w:i w:val="0"/>
                <w:color w:val="000000"/>
                <w:kern w:val="0"/>
                <w:sz w:val="21"/>
                <w:szCs w:val="21"/>
                <w:u w:val="none"/>
                <w:lang w:val="en-US" w:eastAsia="zh-CN" w:bidi="ar"/>
              </w:rPr>
            </w:pPr>
            <w:r>
              <w:rPr>
                <w:rFonts w:hint="eastAsia" w:ascii="Times New Roman" w:hAnsi="Times New Roman" w:eastAsia="仿宋_GB2312" w:cs="Times New Roman"/>
                <w:kern w:val="2"/>
                <w:sz w:val="21"/>
                <w:szCs w:val="21"/>
                <w:lang w:val="en-US" w:eastAsia="zh-CN" w:bidi="ar-SA"/>
              </w:rPr>
              <w:t>注：居民医保参保人员在年度内住院费用（含门诊特殊病、门诊急诊抢救、门诊谈判药、日间手术）经居民医保基金支付后的政策范围内费用个人自付部分累计达到大病保险报销理赔条件的可获得大病保险理赔。</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both"/>
        <w:textAlignment w:val="auto"/>
        <w:rPr>
          <w:rFonts w:hint="eastAsia" w:ascii="方正楷体_GBK" w:hAnsi="方正楷体_GBK" w:eastAsia="方正楷体_GBK" w:cs="方正楷体_GBK"/>
          <w:kern w:val="2"/>
          <w:sz w:val="21"/>
          <w:szCs w:val="21"/>
          <w:lang w:val="en-US" w:eastAsia="zh-CN" w:bidi="ar-SA"/>
        </w:rPr>
      </w:pPr>
      <w:r>
        <w:rPr>
          <w:rFonts w:hint="eastAsia" w:ascii="方正楷体_GBK" w:hAnsi="方正楷体_GBK" w:eastAsia="方正楷体_GBK" w:cs="方正楷体_GBK"/>
          <w:kern w:val="2"/>
          <w:sz w:val="21"/>
          <w:szCs w:val="21"/>
          <w:lang w:val="en-US" w:eastAsia="zh-CN" w:bidi="ar-SA"/>
        </w:rPr>
        <w:t>（5）医疗救助待遇</w:t>
      </w:r>
    </w:p>
    <w:tbl>
      <w:tblPr>
        <w:tblStyle w:val="4"/>
        <w:tblW w:w="8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56"/>
        <w:gridCol w:w="1557"/>
        <w:gridCol w:w="1905"/>
        <w:gridCol w:w="1043"/>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2256"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2" w:type="dxa"/>
              <w:left w:w="12" w:type="dxa"/>
              <w:right w:w="12"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 xml:space="preserve">        项目分类</w:t>
            </w:r>
          </w:p>
          <w:p>
            <w:pPr>
              <w:pStyle w:val="2"/>
              <w:keepNext w:val="0"/>
              <w:keepLines w:val="0"/>
              <w:pageBreakBefore w:val="0"/>
              <w:widowControl w:val="0"/>
              <w:kinsoku/>
              <w:wordWrap/>
              <w:overflowPunct/>
              <w:topLinePunct w:val="0"/>
              <w:autoSpaceDE w:val="0"/>
              <w:autoSpaceDN w:val="0"/>
              <w:bidi w:val="0"/>
              <w:adjustRightInd/>
              <w:snapToGrid/>
              <w:spacing w:line="280" w:lineRule="exact"/>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人员类别</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sz w:val="21"/>
                <w:szCs w:val="21"/>
                <w:u w:val="none"/>
              </w:rPr>
            </w:pPr>
            <w:r>
              <w:rPr>
                <w:rFonts w:hint="eastAsia" w:asciiTheme="majorEastAsia" w:hAnsiTheme="majorEastAsia" w:eastAsiaTheme="majorEastAsia" w:cstheme="majorEastAsia"/>
                <w:b/>
                <w:bCs/>
                <w:i w:val="0"/>
                <w:color w:val="000000"/>
                <w:kern w:val="0"/>
                <w:sz w:val="21"/>
                <w:szCs w:val="21"/>
                <w:u w:val="none"/>
                <w:lang w:val="en-US" w:eastAsia="zh-CN" w:bidi="ar"/>
              </w:rPr>
              <w:t>起付线</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sz w:val="21"/>
                <w:szCs w:val="21"/>
                <w:u w:val="none"/>
              </w:rPr>
            </w:pPr>
            <w:r>
              <w:rPr>
                <w:rFonts w:hint="eastAsia" w:asciiTheme="majorEastAsia" w:hAnsiTheme="majorEastAsia" w:eastAsiaTheme="majorEastAsia" w:cstheme="majorEastAsia"/>
                <w:b/>
                <w:bCs/>
                <w:i w:val="0"/>
                <w:color w:val="000000"/>
                <w:kern w:val="0"/>
                <w:sz w:val="21"/>
                <w:szCs w:val="21"/>
                <w:u w:val="none"/>
                <w:lang w:val="en-US" w:eastAsia="zh-CN" w:bidi="ar"/>
              </w:rPr>
              <w:t>报销比例</w:t>
            </w:r>
          </w:p>
        </w:tc>
        <w:tc>
          <w:tcPr>
            <w:tcW w:w="1043"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sz w:val="21"/>
                <w:szCs w:val="21"/>
                <w:u w:val="none"/>
              </w:rPr>
            </w:pPr>
            <w:r>
              <w:rPr>
                <w:rFonts w:hint="eastAsia" w:asciiTheme="majorEastAsia" w:hAnsiTheme="majorEastAsia" w:eastAsiaTheme="majorEastAsia" w:cstheme="majorEastAsia"/>
                <w:b/>
                <w:bCs/>
                <w:i w:val="0"/>
                <w:color w:val="000000"/>
                <w:kern w:val="0"/>
                <w:sz w:val="21"/>
                <w:szCs w:val="21"/>
                <w:u w:val="none"/>
                <w:lang w:val="en-US" w:eastAsia="zh-CN" w:bidi="ar"/>
              </w:rPr>
              <w:t>基金封顶</w:t>
            </w:r>
          </w:p>
        </w:tc>
        <w:tc>
          <w:tcPr>
            <w:tcW w:w="157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b/>
                <w:bCs/>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特困人员</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1043"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无封顶</w:t>
            </w:r>
          </w:p>
        </w:tc>
        <w:tc>
          <w:tcPr>
            <w:tcW w:w="157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低保对象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1043"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2万元</w:t>
            </w:r>
          </w:p>
        </w:tc>
        <w:tc>
          <w:tcPr>
            <w:tcW w:w="157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脱贫人口和监测对象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2500元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1043"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2万元</w:t>
            </w:r>
          </w:p>
        </w:tc>
        <w:tc>
          <w:tcPr>
            <w:tcW w:w="157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spacing w:val="-20"/>
                <w:kern w:val="0"/>
                <w:sz w:val="21"/>
                <w:szCs w:val="21"/>
                <w:u w:val="none"/>
                <w:lang w:val="en-US" w:eastAsia="zh-CN" w:bidi="ar"/>
              </w:rPr>
              <w:t>乡村振兴过渡期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低保边缘对象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2500元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1043"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2万元</w:t>
            </w:r>
          </w:p>
        </w:tc>
        <w:tc>
          <w:tcPr>
            <w:tcW w:w="157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因病致贫重病患者</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6400元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043"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2万元</w:t>
            </w:r>
          </w:p>
        </w:tc>
        <w:tc>
          <w:tcPr>
            <w:tcW w:w="157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依申请救助(二次救助)</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10000元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043"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5000元</w:t>
            </w:r>
          </w:p>
        </w:tc>
        <w:tc>
          <w:tcPr>
            <w:tcW w:w="157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833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注：对规范转诊且在云南省域内就医的医疗救助对象住院及门诊（慢性病、特殊病、日间手术等）目录内医疗费用经基本医保、大病保险报销后的个人自付费用纳入医疗救助范围。个人自付费用=医疗总费用-医保统筹资金-大病基金-全自费（含超限价自费）。</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rPr>
          <w:rFonts w:hint="eastAsia"/>
          <w:lang w:val="en-US" w:eastAsia="zh-CN"/>
        </w:rPr>
      </w:pPr>
    </w:p>
    <w:p>
      <w:pPr>
        <w:rPr>
          <w:rFonts w:hint="eastAsia"/>
          <w:lang w:val="en-US" w:eastAsia="zh-CN"/>
        </w:rPr>
      </w:pPr>
    </w:p>
    <w:p>
      <w:pPr>
        <w:rPr>
          <w:rFonts w:hint="default"/>
          <w:lang w:val="en-US" w:eastAsia="zh-CN"/>
        </w:rPr>
      </w:pPr>
    </w:p>
    <w:p>
      <w:pPr>
        <w:rPr>
          <w:rFonts w:hint="eastAsia"/>
          <w:lang w:val="en-US" w:eastAsia="zh-CN"/>
        </w:rPr>
      </w:pPr>
    </w:p>
    <w:p/>
    <w:sectPr>
      <w:pgSz w:w="11906" w:h="16838"/>
      <w:pgMar w:top="1984" w:right="1474" w:bottom="175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MWM0ODA1Njk2Y2YyNzMyZmYzNjdkYjMzY2MzM2IifQ=="/>
  </w:docVars>
  <w:rsids>
    <w:rsidRoot w:val="5A840DC3"/>
    <w:rsid w:val="5A840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正文4"/>
    <w:basedOn w:val="1"/>
    <w:qFormat/>
    <w:uiPriority w:val="0"/>
    <w:pPr>
      <w:autoSpaceDE w:val="0"/>
      <w:autoSpaceDN w:val="0"/>
    </w:pPr>
    <w:rPr>
      <w:rFonts w:ascii="宋体" w:hAnsi="宋体"/>
      <w:sz w:val="28"/>
      <w:szCs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1"/>
    <w:basedOn w:val="5"/>
    <w:autoRedefine/>
    <w:qFormat/>
    <w:uiPriority w:val="0"/>
    <w:rPr>
      <w:rFonts w:hint="eastAsia" w:ascii="宋体" w:hAnsi="宋体" w:eastAsia="宋体" w:cs="宋体"/>
      <w:color w:val="FFFFFF"/>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2024-02-01T09:17:00Z</dcterms:created>
  <dc:creator>林</dc:creator>
  <cp:lastModifiedBy>林</cp:lastModifiedBy>
  <dcterms:modified xsi:type="dcterms:W3CDTF">2024-02-01T09:18:54Z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E6178B4A36B74113AFA4B88D0BCC4F8E_11</vt:lpwstr>
  </property>
</Properties>
</file>